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6276E0" w14:textId="1A4958CB" w:rsidR="00C20640" w:rsidRDefault="00C20640" w:rsidP="00C20640">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Pr>
          <w:rFonts w:ascii="Arial" w:hAnsi="Arial" w:cs="Arial"/>
          <w:b/>
          <w:sz w:val="24"/>
          <w:szCs w:val="24"/>
          <w:lang w:val="en-US"/>
        </w:rPr>
        <w:t xml:space="preserve">N WG4 Meeting #112 </w:t>
      </w:r>
      <w:r>
        <w:rPr>
          <w:rFonts w:ascii="Arial" w:hAnsi="Arial" w:cs="Arial"/>
          <w:b/>
          <w:sz w:val="24"/>
          <w:szCs w:val="24"/>
          <w:lang w:val="en-US"/>
        </w:rPr>
        <w:tab/>
      </w:r>
      <w:r w:rsidR="002E7DB3" w:rsidRPr="002E7DB3">
        <w:rPr>
          <w:rFonts w:ascii="Arial" w:hAnsi="Arial" w:cs="Arial"/>
          <w:b/>
          <w:sz w:val="24"/>
          <w:szCs w:val="24"/>
          <w:lang w:val="en-US"/>
        </w:rPr>
        <w:t>R4-2413275</w:t>
      </w:r>
    </w:p>
    <w:p w14:paraId="5A772745" w14:textId="7D886AAF" w:rsidR="00C20640" w:rsidRPr="00F44C66" w:rsidRDefault="00C20640" w:rsidP="00C20640">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Maastricht, Netherlands</w:t>
      </w:r>
      <w:r w:rsidRPr="00054954">
        <w:rPr>
          <w:rFonts w:ascii="Arial" w:hAnsi="Arial" w:cs="Arial"/>
          <w:b/>
          <w:sz w:val="24"/>
          <w:szCs w:val="24"/>
          <w:lang w:val="en-US"/>
        </w:rPr>
        <w:t xml:space="preserve">, </w:t>
      </w:r>
      <w:r>
        <w:rPr>
          <w:rFonts w:ascii="Arial" w:hAnsi="Arial" w:cs="Arial"/>
          <w:b/>
          <w:sz w:val="24"/>
          <w:szCs w:val="24"/>
          <w:lang w:val="en-US"/>
        </w:rPr>
        <w:t>Aug 19</w:t>
      </w:r>
      <w:r w:rsidRPr="00E13633">
        <w:rPr>
          <w:rFonts w:ascii="Arial" w:hAnsi="Arial" w:cs="Arial"/>
          <w:b/>
          <w:sz w:val="24"/>
          <w:szCs w:val="24"/>
        </w:rPr>
        <w:t xml:space="preserve"> –</w:t>
      </w:r>
      <w:r>
        <w:rPr>
          <w:rFonts w:ascii="Arial" w:hAnsi="Arial" w:cs="Arial"/>
          <w:b/>
          <w:sz w:val="24"/>
          <w:szCs w:val="24"/>
        </w:rPr>
        <w:t xml:space="preserve"> 23</w:t>
      </w:r>
      <w:r w:rsidRPr="00E13633">
        <w:rPr>
          <w:rFonts w:ascii="Arial" w:hAnsi="Arial" w:cs="Arial"/>
          <w:b/>
          <w:sz w:val="24"/>
          <w:szCs w:val="24"/>
        </w:rPr>
        <w:t>, 202</w:t>
      </w:r>
      <w:r>
        <w:rPr>
          <w:rFonts w:ascii="Arial" w:hAnsi="Arial" w:cs="Arial"/>
          <w:b/>
          <w:sz w:val="24"/>
          <w:szCs w:val="24"/>
        </w:rPr>
        <w:t>4</w:t>
      </w:r>
    </w:p>
    <w:p w14:paraId="47EB3D9B" w14:textId="77777777" w:rsidR="00675C27" w:rsidRDefault="00675C27" w:rsidP="00675C27">
      <w:pPr>
        <w:tabs>
          <w:tab w:val="left" w:pos="1985"/>
        </w:tabs>
        <w:spacing w:after="100" w:afterAutospacing="1"/>
        <w:jc w:val="both"/>
        <w:rPr>
          <w:rFonts w:ascii="Arial" w:eastAsia="Symbol" w:hAnsi="Arial" w:cs="Arial"/>
          <w:noProof/>
          <w:sz w:val="24"/>
        </w:rPr>
      </w:pPr>
    </w:p>
    <w:p w14:paraId="26A73A87" w14:textId="5E078D78"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002E7DB3" w:rsidRPr="002E7DB3">
        <w:rPr>
          <w:rFonts w:ascii="Arial" w:hAnsi="Arial" w:cs="Arial"/>
          <w:sz w:val="22"/>
        </w:rPr>
        <w:t xml:space="preserve">Huawei, </w:t>
      </w:r>
      <w:proofErr w:type="spellStart"/>
      <w:r w:rsidR="002E7DB3" w:rsidRPr="002E7DB3">
        <w:rPr>
          <w:rFonts w:ascii="Arial" w:hAnsi="Arial" w:cs="Arial"/>
          <w:sz w:val="22"/>
        </w:rPr>
        <w:t>HiSilicon</w:t>
      </w:r>
      <w:proofErr w:type="spellEnd"/>
    </w:p>
    <w:p w14:paraId="787D1100" w14:textId="6B99910D"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9465EC">
        <w:rPr>
          <w:rFonts w:ascii="Arial" w:hAnsi="Arial" w:cs="Arial"/>
          <w:sz w:val="22"/>
        </w:rPr>
        <w:t xml:space="preserve">EEIRP </w:t>
      </w:r>
      <w:r w:rsidR="00C20640">
        <w:rPr>
          <w:rFonts w:ascii="Arial" w:hAnsi="Arial" w:cs="Arial"/>
          <w:sz w:val="22"/>
        </w:rPr>
        <w:t>Beam direction definitions</w:t>
      </w:r>
    </w:p>
    <w:p w14:paraId="71022389" w14:textId="7B59CCDD"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2E7DB3">
        <w:rPr>
          <w:rFonts w:ascii="Arial" w:eastAsia="Symbol" w:hAnsi="Arial" w:cs="Arial"/>
          <w:sz w:val="22"/>
        </w:rPr>
        <w:t>8.11.2</w:t>
      </w:r>
    </w:p>
    <w:p w14:paraId="7A1A2664" w14:textId="6EB588FA"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96290E">
        <w:rPr>
          <w:rFonts w:ascii="Arial" w:eastAsia="Symbol" w:hAnsi="Arial" w:cs="Arial"/>
          <w:sz w:val="22"/>
        </w:rPr>
        <w:t>Discussion</w:t>
      </w:r>
    </w:p>
    <w:bookmarkEnd w:id="2"/>
    <w:bookmarkEnd w:id="3"/>
    <w:p w14:paraId="583FD29F" w14:textId="77777777" w:rsidR="00FC0076" w:rsidRPr="00883F32" w:rsidRDefault="00D43146" w:rsidP="00FD61B3">
      <w:pPr>
        <w:pStyle w:val="10"/>
        <w:rPr>
          <w:rFonts w:cs="Arial"/>
        </w:rPr>
      </w:pPr>
      <w:r>
        <w:rPr>
          <w:rFonts w:cs="Arial"/>
        </w:rPr>
        <w:t xml:space="preserve">1 </w:t>
      </w:r>
      <w:r w:rsidR="00FD61B3" w:rsidRPr="00883F32">
        <w:rPr>
          <w:rFonts w:cs="Arial"/>
        </w:rPr>
        <w:t>Introduction</w:t>
      </w:r>
    </w:p>
    <w:p w14:paraId="17AB3C57" w14:textId="5A2EDCA2" w:rsidR="006738DC" w:rsidRPr="001A1825" w:rsidRDefault="000903C0" w:rsidP="00984DCE">
      <w:pPr>
        <w:rPr>
          <w:lang w:val="en-US"/>
        </w:rPr>
      </w:pPr>
      <w:r>
        <w:rPr>
          <w:rFonts w:eastAsiaTheme="minorEastAsia"/>
        </w:rPr>
        <w:t xml:space="preserve">The </w:t>
      </w:r>
      <w:r w:rsidR="004F47B9">
        <w:rPr>
          <w:rFonts w:eastAsiaTheme="minorEastAsia"/>
        </w:rPr>
        <w:t>core CR for the Expected EIRP requirement is almost complete (R4-2409955) however there is still an open issue of the method of describing the spatial range of the BS OTA steering. In this t-doc we look at the various options and propose a solution for the CR.</w:t>
      </w:r>
    </w:p>
    <w:p w14:paraId="0636B00D" w14:textId="1C62051D" w:rsidR="002D0FAC" w:rsidRDefault="00D43146" w:rsidP="002D0FAC">
      <w:pPr>
        <w:pStyle w:val="10"/>
        <w:rPr>
          <w:rFonts w:cs="Arial"/>
        </w:rPr>
      </w:pPr>
      <w:r>
        <w:rPr>
          <w:rFonts w:cs="Arial"/>
        </w:rPr>
        <w:t xml:space="preserve">2 </w:t>
      </w:r>
      <w:r w:rsidR="009A65B2">
        <w:rPr>
          <w:rFonts w:cs="Arial"/>
        </w:rPr>
        <w:t>Discussion</w:t>
      </w:r>
    </w:p>
    <w:p w14:paraId="5A03C9E1" w14:textId="2FF6D71D" w:rsidR="003D67DD" w:rsidRDefault="003D67DD" w:rsidP="003D67DD">
      <w:pPr>
        <w:pStyle w:val="2"/>
      </w:pPr>
      <w:r>
        <w:t>2.1</w:t>
      </w:r>
      <w:r w:rsidRPr="004D3578">
        <w:tab/>
      </w:r>
      <w:r>
        <w:t>Definitions</w:t>
      </w:r>
    </w:p>
    <w:p w14:paraId="225C5D14" w14:textId="382A289A" w:rsidR="004F47B9" w:rsidRDefault="004F47B9" w:rsidP="004F47B9">
      <w:r>
        <w:t xml:space="preserve">The regulatory text describes the beam </w:t>
      </w:r>
      <w:r w:rsidR="009E75A9">
        <w:t>conditions as follows:</w:t>
      </w:r>
    </w:p>
    <w:p w14:paraId="44647915" w14:textId="75BB9FE0" w:rsidR="009E75A9" w:rsidRPr="003D67DD" w:rsidRDefault="009E75A9" w:rsidP="009E75A9">
      <w:pPr>
        <w:ind w:left="284"/>
        <w:rPr>
          <w:i/>
          <w:lang w:val="en-US"/>
        </w:rPr>
      </w:pPr>
      <w:r w:rsidRPr="003D67DD">
        <w:rPr>
          <w:i/>
          <w:lang w:val="en-US"/>
        </w:rPr>
        <w:t xml:space="preserve">NOTE 1: The expected </w:t>
      </w:r>
      <w:proofErr w:type="spellStart"/>
      <w:r w:rsidRPr="003D67DD">
        <w:rPr>
          <w:i/>
          <w:lang w:val="en-US"/>
        </w:rPr>
        <w:t>e.i.r.p</w:t>
      </w:r>
      <w:proofErr w:type="spellEnd"/>
      <w:r w:rsidRPr="003D67DD">
        <w:rPr>
          <w:i/>
          <w:lang w:val="en-US"/>
        </w:rPr>
        <w:t xml:space="preserve">. is defined as the average value of the </w:t>
      </w:r>
      <w:proofErr w:type="spellStart"/>
      <w:r w:rsidRPr="003D67DD">
        <w:rPr>
          <w:i/>
          <w:lang w:val="en-US"/>
        </w:rPr>
        <w:t>e.i.r.p</w:t>
      </w:r>
      <w:proofErr w:type="spellEnd"/>
      <w:r w:rsidRPr="003D67DD">
        <w:rPr>
          <w:i/>
          <w:lang w:val="en-US"/>
        </w:rPr>
        <w:t xml:space="preserve">., with the averaging being performed: ‒ over horizontal angles from −180° to +180 °, with the IMT base station beamforming in a specific direction within its horizontal and vertical steering range, ‒ over different beamforming directions within the IMT base station horizontal and vertical steering range, and ‒ over the specified vertical angle range </w:t>
      </w:r>
      <w:proofErr w:type="spellStart"/>
      <w:r w:rsidRPr="003D67DD">
        <w:rPr>
          <w:i/>
          <w:lang w:val="en-US"/>
        </w:rPr>
        <w:t>θL</w:t>
      </w:r>
      <w:proofErr w:type="spellEnd"/>
      <w:r w:rsidRPr="003D67DD">
        <w:rPr>
          <w:i/>
          <w:lang w:val="en-US"/>
        </w:rPr>
        <w:t xml:space="preserve"> ≤ θ &lt; </w:t>
      </w:r>
      <w:proofErr w:type="spellStart"/>
      <w:r w:rsidRPr="003D67DD">
        <w:rPr>
          <w:i/>
          <w:lang w:val="en-US"/>
        </w:rPr>
        <w:t>θH</w:t>
      </w:r>
      <w:proofErr w:type="spellEnd"/>
    </w:p>
    <w:p w14:paraId="39F15973" w14:textId="5F8812B7" w:rsidR="009E75A9" w:rsidRDefault="009E75A9" w:rsidP="009E75A9">
      <w:r>
        <w:t>The beam is steered over its vertical and horizontal steering range. We currently have 2 defined terms covering the directional requirements coverage/steering range.</w:t>
      </w:r>
    </w:p>
    <w:p w14:paraId="5F780F52" w14:textId="77777777" w:rsidR="009E75A9" w:rsidRPr="00F95B02" w:rsidRDefault="009E75A9" w:rsidP="00D42039">
      <w:pPr>
        <w:ind w:left="284"/>
      </w:pPr>
      <w:r w:rsidRPr="00F95B02">
        <w:rPr>
          <w:b/>
        </w:rPr>
        <w:t>OTA coverage range</w:t>
      </w:r>
      <w:r w:rsidRPr="00F95B02">
        <w:t xml:space="preserve">: a common range of directions within which TX OTA requirements that are neither specified in the </w:t>
      </w:r>
      <w:r w:rsidRPr="00F95B02">
        <w:rPr>
          <w:i/>
        </w:rPr>
        <w:t>OTA peak directions sets</w:t>
      </w:r>
      <w:r w:rsidRPr="00F95B02">
        <w:t xml:space="preserve"> nor as </w:t>
      </w:r>
      <w:r w:rsidRPr="00F95B02">
        <w:rPr>
          <w:i/>
        </w:rPr>
        <w:t>TRP requirement</w:t>
      </w:r>
      <w:r w:rsidRPr="00F95B02">
        <w:t xml:space="preserve"> are intended to be met</w:t>
      </w:r>
    </w:p>
    <w:p w14:paraId="1BF09FFF" w14:textId="77777777" w:rsidR="009E75A9" w:rsidRPr="00F95B02" w:rsidRDefault="009E75A9" w:rsidP="00D42039">
      <w:pPr>
        <w:ind w:left="284"/>
      </w:pPr>
      <w:r w:rsidRPr="00F95B02">
        <w:rPr>
          <w:b/>
        </w:rPr>
        <w:t xml:space="preserve">OTA peak directions set: </w:t>
      </w:r>
      <w:r w:rsidRPr="00F95B02">
        <w:t>set(s) of </w:t>
      </w:r>
      <w:r w:rsidRPr="00F95B02">
        <w:rPr>
          <w:i/>
        </w:rPr>
        <w:t>beam peak directions</w:t>
      </w:r>
      <w:r w:rsidRPr="00F95B02">
        <w:t> within which certain TX OTA requirements are intended to be met, where all </w:t>
      </w:r>
      <w:r w:rsidRPr="00F95B02">
        <w:rPr>
          <w:i/>
        </w:rPr>
        <w:t>OTA peak directions set(s)</w:t>
      </w:r>
      <w:r w:rsidRPr="00F95B02">
        <w:t> are subsets of the </w:t>
      </w:r>
      <w:r w:rsidRPr="00F95B02">
        <w:rPr>
          <w:i/>
        </w:rPr>
        <w:t>OTA coverage range</w:t>
      </w:r>
    </w:p>
    <w:p w14:paraId="7936BFFE" w14:textId="77777777" w:rsidR="009E75A9" w:rsidRPr="00F95B02" w:rsidRDefault="009E75A9" w:rsidP="00D42039">
      <w:pPr>
        <w:pStyle w:val="NO"/>
        <w:ind w:left="1419"/>
      </w:pPr>
      <w:r w:rsidRPr="00F95B02">
        <w:t>NOTE:     The </w:t>
      </w:r>
      <w:r w:rsidRPr="00F95B02">
        <w:rPr>
          <w:i/>
        </w:rPr>
        <w:t>beam peak directions</w:t>
      </w:r>
      <w:r w:rsidRPr="00F95B02">
        <w:t> are related to a corresponding contiguous range or discrete list of </w:t>
      </w:r>
      <w:r w:rsidRPr="00F95B02">
        <w:rPr>
          <w:i/>
        </w:rPr>
        <w:t>beam centre directions </w:t>
      </w:r>
      <w:r w:rsidRPr="00F95B02">
        <w:t>by the </w:t>
      </w:r>
      <w:r w:rsidRPr="00F95B02">
        <w:rPr>
          <w:i/>
        </w:rPr>
        <w:t>beam direction pairs</w:t>
      </w:r>
      <w:r w:rsidRPr="00F95B02">
        <w:t> included in the set.</w:t>
      </w:r>
    </w:p>
    <w:p w14:paraId="40AA31DF" w14:textId="5B84317E" w:rsidR="009E75A9" w:rsidRDefault="00410ABA" w:rsidP="009E75A9">
      <w:r>
        <w:t>The difference between the peak directions set and the coverage range can be explained by the beam width, it is expected that modulation quality for example is met not just in the direction the beam is pointing but also over the usable portion of the beam (as described by the beam width).</w:t>
      </w:r>
    </w:p>
    <w:p w14:paraId="796B9F2A" w14:textId="2432B067" w:rsidR="00410ABA" w:rsidRDefault="00410ABA" w:rsidP="009E75A9">
      <w:r>
        <w:t xml:space="preserve">The peak </w:t>
      </w:r>
      <w:r w:rsidR="000D1018">
        <w:t>directions</w:t>
      </w:r>
      <w:r>
        <w:t xml:space="preserve"> set describes the beam steering capability of the BS</w:t>
      </w:r>
      <w:r w:rsidR="000D1018">
        <w:t>, the following examples are given in TR 38.842</w:t>
      </w:r>
    </w:p>
    <w:p w14:paraId="5A3D95F7" w14:textId="62CAE7F1" w:rsidR="000D1018" w:rsidRPr="00530CB2" w:rsidRDefault="000D1018" w:rsidP="000D1018">
      <w:pPr>
        <w:pStyle w:val="TH"/>
      </w:pPr>
      <w:r w:rsidRPr="007E3ED5">
        <w:rPr>
          <w:noProof/>
        </w:rPr>
        <w:lastRenderedPageBreak/>
        <w:drawing>
          <wp:inline distT="0" distB="0" distL="0" distR="0" wp14:anchorId="35B42008" wp14:editId="595E0B29">
            <wp:extent cx="4230434" cy="206533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37997" cy="2069024"/>
                    </a:xfrm>
                    <a:prstGeom prst="rect">
                      <a:avLst/>
                    </a:prstGeom>
                    <a:noFill/>
                    <a:ln>
                      <a:noFill/>
                    </a:ln>
                  </pic:spPr>
                </pic:pic>
              </a:graphicData>
            </a:graphic>
          </wp:inline>
        </w:drawing>
      </w:r>
    </w:p>
    <w:p w14:paraId="07AF1461" w14:textId="77777777" w:rsidR="000D1018" w:rsidRPr="00530CB2" w:rsidRDefault="000D1018" w:rsidP="000D1018">
      <w:pPr>
        <w:pStyle w:val="TF"/>
      </w:pPr>
      <w:r w:rsidRPr="00530CB2">
        <w:t>Figure F-4: Example of a directions diagram indicating possible settings</w:t>
      </w:r>
      <w:r w:rsidRPr="00530CB2">
        <w:br/>
        <w:t>for the beam pointing direction</w:t>
      </w:r>
    </w:p>
    <w:p w14:paraId="34CCF3DC" w14:textId="426C6059" w:rsidR="000D1018" w:rsidRDefault="000D1018" w:rsidP="009E75A9">
      <w:r>
        <w:t>At the time of writing the AAS specification switch beam systems were considered as well as more capable continuous beam steering, the discrete points represent systems where directions finite and switch between and the continuous regions represent continuous beam steering. For FR1 systems we tend to assume the beam steering is continuous</w:t>
      </w:r>
      <w:r w:rsidR="00B84112">
        <w:t xml:space="preserve"> however the declaration mechanism allows for any implementations.</w:t>
      </w:r>
    </w:p>
    <w:p w14:paraId="4C3F0D3C" w14:textId="3AE80140" w:rsidR="000D1018" w:rsidRDefault="000D1018" w:rsidP="009E75A9">
      <w:r>
        <w:t>It can be noted that the OTA coverage range for each of these peak directions diagrams would be a larger area due to the beam width.</w:t>
      </w:r>
      <w:r w:rsidR="00B84112">
        <w:t xml:space="preserve"> For example using the top right example:</w:t>
      </w:r>
    </w:p>
    <w:p w14:paraId="7184B9EE" w14:textId="79533C29" w:rsidR="00B84112" w:rsidRDefault="00B84112" w:rsidP="00B84112">
      <w:pPr>
        <w:jc w:val="center"/>
      </w:pPr>
      <w:r w:rsidRPr="00B84112">
        <w:rPr>
          <w:noProof/>
        </w:rPr>
        <w:drawing>
          <wp:inline distT="0" distB="0" distL="0" distR="0" wp14:anchorId="2DD09E17" wp14:editId="54874F5C">
            <wp:extent cx="3291129" cy="1810231"/>
            <wp:effectExtent l="0" t="0" r="508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97423" cy="1813693"/>
                    </a:xfrm>
                    <a:prstGeom prst="rect">
                      <a:avLst/>
                    </a:prstGeom>
                    <a:noFill/>
                    <a:ln>
                      <a:noFill/>
                    </a:ln>
                  </pic:spPr>
                </pic:pic>
              </a:graphicData>
            </a:graphic>
          </wp:inline>
        </w:drawing>
      </w:r>
    </w:p>
    <w:p w14:paraId="3392CDE7" w14:textId="3298F829" w:rsidR="00B84112" w:rsidRPr="00530CB2" w:rsidRDefault="00B84112" w:rsidP="00B84112">
      <w:pPr>
        <w:pStyle w:val="TF"/>
      </w:pPr>
      <w:r w:rsidRPr="00530CB2">
        <w:t xml:space="preserve">Figure </w:t>
      </w:r>
      <w:r>
        <w:t>2.1-2</w:t>
      </w:r>
      <w:r w:rsidRPr="00530CB2">
        <w:t xml:space="preserve">: Example of a directions diagram </w:t>
      </w:r>
      <w:r>
        <w:t>OTA peak directions set and OTA coverage area</w:t>
      </w:r>
    </w:p>
    <w:p w14:paraId="0937F85E" w14:textId="23FFA6D6" w:rsidR="00B84112" w:rsidRDefault="00B84112" w:rsidP="00B84112">
      <w:r>
        <w:t>The description in the regulation for the EEIRP requirement clearly states steering directions rather than coverage area so OTA peak directions set better describes the steering range.</w:t>
      </w:r>
    </w:p>
    <w:p w14:paraId="3C064E72" w14:textId="77777777" w:rsidR="00B84112" w:rsidRDefault="00B84112" w:rsidP="00B84112">
      <w:r w:rsidRPr="00B84112">
        <w:rPr>
          <w:b/>
        </w:rPr>
        <w:t>Observation 1:</w:t>
      </w:r>
      <w:r>
        <w:t xml:space="preserve"> The description in the regulation for the EEIRP requirement clearly states steering directions rather than coverage area so OTA peak directions set better describes the steering range.</w:t>
      </w:r>
    </w:p>
    <w:p w14:paraId="21B02833" w14:textId="6BDA4E94" w:rsidR="00B84112" w:rsidRDefault="00B84112" w:rsidP="00B84112"/>
    <w:p w14:paraId="357CE18A" w14:textId="7F32A442" w:rsidR="000D1018" w:rsidRDefault="000D1018" w:rsidP="009E75A9">
      <w:r>
        <w:t>Finally we have a proposed definition in R4-2409118 for a Coverage Angular Range (CAR) defined as:</w:t>
      </w:r>
    </w:p>
    <w:p w14:paraId="74DCDC6C" w14:textId="77777777" w:rsidR="000D1018" w:rsidRPr="001562FC" w:rsidRDefault="000D1018" w:rsidP="000D1018">
      <w:pPr>
        <w:ind w:left="284"/>
        <w:rPr>
          <w:i/>
          <w:iCs/>
        </w:rPr>
      </w:pPr>
      <w:r w:rsidRPr="001562FC">
        <w:rPr>
          <w:b/>
          <w:bCs/>
          <w:i/>
          <w:iCs/>
        </w:rPr>
        <w:t>Coverage Angular Range:</w:t>
      </w:r>
      <w:r w:rsidRPr="001562FC">
        <w:rPr>
          <w:i/>
          <w:iCs/>
        </w:rPr>
        <w:t xml:space="preserve"> </w:t>
      </w:r>
      <w:r>
        <w:rPr>
          <w:i/>
          <w:iCs/>
        </w:rPr>
        <w:t>The coverage angular range is a set of directions describing the intended angular operation range for which the expected EIRP requirement is met.</w:t>
      </w:r>
      <w:r w:rsidRPr="001562FC">
        <w:rPr>
          <w:i/>
          <w:iCs/>
        </w:rPr>
        <w:t xml:space="preserve"> </w:t>
      </w:r>
    </w:p>
    <w:p w14:paraId="5E33A03A" w14:textId="63669558" w:rsidR="00B84112" w:rsidRDefault="00B84112" w:rsidP="009E75A9">
      <w:r>
        <w:t>This definition is new and also uses terms which previously have not been defined and could be ambiguous – “intended angular operation range” it is not clear what this is but it could imply the coverage range as such the definition is mixing up the concept of steering range and coverage range, for example you should not steer the beam direction to the edge of the coverage range but the edge of the peak directions range.</w:t>
      </w:r>
    </w:p>
    <w:p w14:paraId="717C48DA" w14:textId="45ADCAE0" w:rsidR="00B84112" w:rsidRDefault="00B84112" w:rsidP="009E75A9">
      <w:r>
        <w:t xml:space="preserve">In addition previously we have not </w:t>
      </w:r>
      <w:r w:rsidR="00C46B86">
        <w:t>referred</w:t>
      </w:r>
      <w:r>
        <w:t xml:space="preserve"> to “angular” directions</w:t>
      </w:r>
      <w:r w:rsidR="00C46B86">
        <w:t xml:space="preserve">, the term itself is not incorrect and it may be necessary to use the word to describe the EEIRP bins above the horizon but it is perhaps confusing to add it to existing </w:t>
      </w:r>
      <w:r w:rsidR="00C46B86">
        <w:lastRenderedPageBreak/>
        <w:t>declarations as we have not included it before i.e. directions are described by angles, if we now call them angular directions is there an impression there may be directions which are not angular ?</w:t>
      </w:r>
    </w:p>
    <w:p w14:paraId="0D1CF45E" w14:textId="4396B239" w:rsidR="00B84112" w:rsidRDefault="00B84112" w:rsidP="009E75A9">
      <w:r w:rsidRPr="00B84112">
        <w:rPr>
          <w:b/>
        </w:rPr>
        <w:t>Observation 2:</w:t>
      </w:r>
      <w:r>
        <w:t xml:space="preserve"> CAR definition as suggested contains </w:t>
      </w:r>
      <w:r w:rsidR="00C46B86">
        <w:t xml:space="preserve">potentially </w:t>
      </w:r>
      <w:r>
        <w:t xml:space="preserve">ambiguous </w:t>
      </w:r>
      <w:r w:rsidR="00C46B86">
        <w:t>new terms.</w:t>
      </w:r>
    </w:p>
    <w:p w14:paraId="54D47016" w14:textId="26CEE481" w:rsidR="000D1018" w:rsidRDefault="00B84112" w:rsidP="009E75A9">
      <w:r>
        <w:t>The other main difference is t</w:t>
      </w:r>
      <w:r w:rsidR="000D1018">
        <w:t>he CAR definition is specific to the EEIRP requirement whereas the more general OTA peak directions set refers to “</w:t>
      </w:r>
      <w:r w:rsidR="000D1018" w:rsidRPr="00F95B02">
        <w:t>certain TX OTA requirements</w:t>
      </w:r>
      <w:r w:rsidR="000D1018">
        <w:t>”. It would seem that this more general description would also cover EEIRP</w:t>
      </w:r>
      <w:r w:rsidR="00D42039">
        <w:t>.</w:t>
      </w:r>
    </w:p>
    <w:p w14:paraId="6A20F510" w14:textId="61DEF9D2" w:rsidR="00B84112" w:rsidRDefault="00B84112" w:rsidP="009E75A9">
      <w:r w:rsidRPr="00C46B86">
        <w:rPr>
          <w:b/>
        </w:rPr>
        <w:t xml:space="preserve">Observation </w:t>
      </w:r>
      <w:r w:rsidR="00C46B86" w:rsidRPr="00C46B86">
        <w:rPr>
          <w:b/>
        </w:rPr>
        <w:t>3</w:t>
      </w:r>
      <w:r w:rsidRPr="00C46B86">
        <w:rPr>
          <w:b/>
        </w:rPr>
        <w:t>:</w:t>
      </w:r>
      <w:r>
        <w:t xml:space="preserve"> </w:t>
      </w:r>
      <w:r w:rsidR="00C46B86">
        <w:t>The CAR definition is explicit to EEIRP but the OTA peak directions set covers any requirement.</w:t>
      </w:r>
    </w:p>
    <w:p w14:paraId="6F5FF0B7" w14:textId="4222D225" w:rsidR="00D42039" w:rsidRDefault="00D42039" w:rsidP="009E75A9">
      <w:r>
        <w:t>It can also be noted that any number of OTA peak directions sets can be declared so if there were the need for restricted ranges of steering in order to pass EEIRP requirements (although in this can its not clear what any other ranges might be suitable for?) then that can be accommodated in the existing definitions and declaration structure.</w:t>
      </w:r>
    </w:p>
    <w:p w14:paraId="4CE49BA6" w14:textId="5B569463" w:rsidR="00C46B86" w:rsidRDefault="00C46B86" w:rsidP="009E75A9">
      <w:r w:rsidRPr="00C46B86">
        <w:rPr>
          <w:b/>
        </w:rPr>
        <w:t>Proposal 1:</w:t>
      </w:r>
      <w:r>
        <w:t xml:space="preserve"> Use existing OTA peak directions set to describe the range of steering directions for the EEIRP requirement.</w:t>
      </w:r>
    </w:p>
    <w:p w14:paraId="3F6A777F" w14:textId="2F086B08" w:rsidR="0003263F" w:rsidRDefault="009A65B2" w:rsidP="0003263F">
      <w:pPr>
        <w:pStyle w:val="2"/>
      </w:pPr>
      <w:r>
        <w:t>2</w:t>
      </w:r>
      <w:r w:rsidR="0003263F">
        <w:t>.</w:t>
      </w:r>
      <w:r>
        <w:t>1</w:t>
      </w:r>
      <w:r w:rsidR="0003263F" w:rsidRPr="004D3578">
        <w:tab/>
      </w:r>
      <w:r w:rsidR="00DC2827">
        <w:t>Declarations</w:t>
      </w:r>
    </w:p>
    <w:p w14:paraId="06750E04" w14:textId="12ACE400" w:rsidR="00D42039" w:rsidRDefault="00D42039" w:rsidP="00D42039">
      <w:r>
        <w:t>An OT</w:t>
      </w:r>
      <w:r w:rsidR="00C46B86">
        <w:t>A</w:t>
      </w:r>
      <w:r>
        <w:t xml:space="preserve"> peak directions set </w:t>
      </w:r>
      <w:r w:rsidR="00DC2827">
        <w:t>i</w:t>
      </w:r>
      <w:r>
        <w:t>s</w:t>
      </w:r>
      <w:r w:rsidR="00DC2827">
        <w:t xml:space="preserve"> </w:t>
      </w:r>
      <w:r>
        <w:t xml:space="preserve">declared for every beam </w:t>
      </w:r>
      <w:r w:rsidR="00DC2827">
        <w:t>identifier</w:t>
      </w:r>
      <w:r>
        <w:t xml:space="preserve">. There is a </w:t>
      </w:r>
      <w:r w:rsidR="00DC2827">
        <w:t>minimum</w:t>
      </w:r>
      <w:r>
        <w:t xml:space="preserve"> set of beam identifiers defined as </w:t>
      </w:r>
      <w:r w:rsidR="00C46B86">
        <w:t>described in the declaration definition (38.141-2 subclause 4.6)</w:t>
      </w:r>
      <w:r>
        <w:t>:</w:t>
      </w:r>
    </w:p>
    <w:p w14:paraId="1F4ADA7C" w14:textId="62CB131A" w:rsidR="00D42039" w:rsidRPr="00C46B86" w:rsidRDefault="00D42039" w:rsidP="00DC2827">
      <w:pPr>
        <w:ind w:left="852"/>
        <w:rPr>
          <w:i/>
        </w:rPr>
      </w:pPr>
      <w:r w:rsidRPr="00C46B86">
        <w:rPr>
          <w:i/>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15AC817E" w14:textId="77777777" w:rsidR="00D42039" w:rsidRPr="00C46B86" w:rsidRDefault="00D42039" w:rsidP="00DC2827">
      <w:pPr>
        <w:ind w:left="852"/>
        <w:rPr>
          <w:i/>
        </w:rPr>
      </w:pPr>
      <w:r w:rsidRPr="00C46B86">
        <w:rPr>
          <w:i/>
        </w:rPr>
        <w:t>1)</w:t>
      </w:r>
      <w:r w:rsidRPr="00C46B86">
        <w:rPr>
          <w:i/>
        </w:rPr>
        <w:tab/>
        <w:t xml:space="preserve">A beam with the narrowest intended </w:t>
      </w:r>
      <w:proofErr w:type="spellStart"/>
      <w:r w:rsidRPr="00C46B86">
        <w:rPr>
          <w:i/>
        </w:rPr>
        <w:t>BeWθ</w:t>
      </w:r>
      <w:proofErr w:type="spellEnd"/>
      <w:r w:rsidRPr="00C46B86">
        <w:rPr>
          <w:i/>
        </w:rPr>
        <w:t xml:space="preserve"> and narrowest intended </w:t>
      </w:r>
      <w:proofErr w:type="spellStart"/>
      <w:r w:rsidRPr="00C46B86">
        <w:rPr>
          <w:i/>
        </w:rPr>
        <w:t>BeWϕ</w:t>
      </w:r>
      <w:proofErr w:type="spellEnd"/>
      <w:r w:rsidRPr="00C46B86">
        <w:rPr>
          <w:i/>
        </w:rPr>
        <w:t xml:space="preserve"> possible when narrowest intended </w:t>
      </w:r>
      <w:proofErr w:type="spellStart"/>
      <w:r w:rsidRPr="00C46B86">
        <w:rPr>
          <w:i/>
        </w:rPr>
        <w:t>BeWθ</w:t>
      </w:r>
      <w:proofErr w:type="spellEnd"/>
      <w:r w:rsidRPr="00C46B86">
        <w:rPr>
          <w:i/>
        </w:rPr>
        <w:t xml:space="preserve"> is used.</w:t>
      </w:r>
    </w:p>
    <w:p w14:paraId="15F08C54" w14:textId="77777777" w:rsidR="00D42039" w:rsidRPr="00C46B86" w:rsidRDefault="00D42039" w:rsidP="00DC2827">
      <w:pPr>
        <w:ind w:left="852"/>
        <w:rPr>
          <w:i/>
        </w:rPr>
      </w:pPr>
      <w:r w:rsidRPr="00C46B86">
        <w:rPr>
          <w:i/>
        </w:rPr>
        <w:t>2)</w:t>
      </w:r>
      <w:r w:rsidRPr="00C46B86">
        <w:rPr>
          <w:i/>
        </w:rPr>
        <w:tab/>
        <w:t xml:space="preserve">A beam with the narrowest intended </w:t>
      </w:r>
      <w:proofErr w:type="spellStart"/>
      <w:r w:rsidRPr="00C46B86">
        <w:rPr>
          <w:i/>
        </w:rPr>
        <w:t>BeWϕ</w:t>
      </w:r>
      <w:proofErr w:type="spellEnd"/>
      <w:r w:rsidRPr="00C46B86">
        <w:rPr>
          <w:i/>
        </w:rPr>
        <w:t xml:space="preserve"> and narrowest intended </w:t>
      </w:r>
      <w:proofErr w:type="spellStart"/>
      <w:r w:rsidRPr="00C46B86">
        <w:rPr>
          <w:i/>
        </w:rPr>
        <w:t>BeWθ</w:t>
      </w:r>
      <w:proofErr w:type="spellEnd"/>
      <w:r w:rsidRPr="00C46B86">
        <w:rPr>
          <w:i/>
        </w:rPr>
        <w:t xml:space="preserve"> possible when narrowest intended </w:t>
      </w:r>
      <w:proofErr w:type="spellStart"/>
      <w:r w:rsidRPr="00C46B86">
        <w:rPr>
          <w:i/>
        </w:rPr>
        <w:t>BeWϕ</w:t>
      </w:r>
      <w:proofErr w:type="spellEnd"/>
      <w:r w:rsidRPr="00C46B86">
        <w:rPr>
          <w:i/>
        </w:rPr>
        <w:t xml:space="preserve"> is used.</w:t>
      </w:r>
    </w:p>
    <w:p w14:paraId="484425EB" w14:textId="77777777" w:rsidR="00D42039" w:rsidRPr="00C46B86" w:rsidRDefault="00D42039" w:rsidP="00DC2827">
      <w:pPr>
        <w:ind w:left="852"/>
        <w:rPr>
          <w:i/>
        </w:rPr>
      </w:pPr>
      <w:r w:rsidRPr="00C46B86">
        <w:rPr>
          <w:i/>
        </w:rPr>
        <w:t>3)</w:t>
      </w:r>
      <w:r w:rsidRPr="00C46B86">
        <w:rPr>
          <w:i/>
        </w:rPr>
        <w:tab/>
        <w:t xml:space="preserve">A beam with the widest intended </w:t>
      </w:r>
      <w:proofErr w:type="spellStart"/>
      <w:r w:rsidRPr="00C46B86">
        <w:rPr>
          <w:i/>
        </w:rPr>
        <w:t>BeWθ</w:t>
      </w:r>
      <w:proofErr w:type="spellEnd"/>
      <w:r w:rsidRPr="00C46B86">
        <w:rPr>
          <w:i/>
        </w:rPr>
        <w:t xml:space="preserve"> and widest intended </w:t>
      </w:r>
      <w:proofErr w:type="spellStart"/>
      <w:r w:rsidRPr="00C46B86">
        <w:rPr>
          <w:i/>
        </w:rPr>
        <w:t>BeWϕ</w:t>
      </w:r>
      <w:proofErr w:type="spellEnd"/>
      <w:r w:rsidRPr="00C46B86">
        <w:rPr>
          <w:i/>
        </w:rPr>
        <w:t xml:space="preserve"> possible when widest intended </w:t>
      </w:r>
      <w:proofErr w:type="spellStart"/>
      <w:r w:rsidRPr="00C46B86">
        <w:rPr>
          <w:i/>
        </w:rPr>
        <w:t>BeWθ</w:t>
      </w:r>
      <w:proofErr w:type="spellEnd"/>
      <w:r w:rsidRPr="00C46B86">
        <w:rPr>
          <w:i/>
        </w:rPr>
        <w:t xml:space="preserve"> is used.</w:t>
      </w:r>
    </w:p>
    <w:p w14:paraId="796F7312" w14:textId="77777777" w:rsidR="00D42039" w:rsidRPr="00C46B86" w:rsidRDefault="00D42039" w:rsidP="00DC2827">
      <w:pPr>
        <w:ind w:left="852"/>
        <w:rPr>
          <w:i/>
        </w:rPr>
      </w:pPr>
      <w:r w:rsidRPr="00C46B86">
        <w:rPr>
          <w:i/>
        </w:rPr>
        <w:t>4)</w:t>
      </w:r>
      <w:r w:rsidRPr="00C46B86">
        <w:rPr>
          <w:i/>
        </w:rPr>
        <w:tab/>
        <w:t xml:space="preserve">A beam with the widest intended </w:t>
      </w:r>
      <w:proofErr w:type="spellStart"/>
      <w:r w:rsidRPr="00C46B86">
        <w:rPr>
          <w:i/>
        </w:rPr>
        <w:t>BeWϕ</w:t>
      </w:r>
      <w:proofErr w:type="spellEnd"/>
      <w:r w:rsidRPr="00C46B86">
        <w:rPr>
          <w:i/>
        </w:rPr>
        <w:t xml:space="preserve"> and widest intended </w:t>
      </w:r>
      <w:proofErr w:type="spellStart"/>
      <w:r w:rsidRPr="00C46B86">
        <w:rPr>
          <w:i/>
        </w:rPr>
        <w:t>BeWθ</w:t>
      </w:r>
      <w:proofErr w:type="spellEnd"/>
      <w:r w:rsidRPr="00C46B86">
        <w:rPr>
          <w:i/>
        </w:rPr>
        <w:t xml:space="preserve"> possible when widest intended </w:t>
      </w:r>
      <w:proofErr w:type="spellStart"/>
      <w:r w:rsidRPr="00C46B86">
        <w:rPr>
          <w:i/>
        </w:rPr>
        <w:t>BeWϕ</w:t>
      </w:r>
      <w:proofErr w:type="spellEnd"/>
      <w:r w:rsidRPr="00C46B86">
        <w:rPr>
          <w:i/>
        </w:rPr>
        <w:t xml:space="preserve"> is used.</w:t>
      </w:r>
    </w:p>
    <w:p w14:paraId="439E7D6A" w14:textId="77777777" w:rsidR="00D42039" w:rsidRPr="00C46B86" w:rsidRDefault="00D42039" w:rsidP="00DC2827">
      <w:pPr>
        <w:ind w:left="852"/>
        <w:rPr>
          <w:i/>
        </w:rPr>
      </w:pPr>
      <w:r w:rsidRPr="00C46B86">
        <w:rPr>
          <w:i/>
        </w:rPr>
        <w:t>5)</w:t>
      </w:r>
      <w:r w:rsidRPr="00C46B86">
        <w:rPr>
          <w:i/>
        </w:rPr>
        <w:tab/>
        <w:t>A beam which provides the highest intended EIRP of all possible beams.</w:t>
      </w:r>
    </w:p>
    <w:p w14:paraId="323E195C" w14:textId="77777777" w:rsidR="00D42039" w:rsidRPr="00C46B86" w:rsidRDefault="00D42039" w:rsidP="00DC2827">
      <w:pPr>
        <w:ind w:left="852"/>
        <w:rPr>
          <w:i/>
        </w:rPr>
      </w:pPr>
      <w:r w:rsidRPr="00C46B86">
        <w:rPr>
          <w:i/>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025ACA8D" w14:textId="7B6D09B7" w:rsidR="00DC2827" w:rsidRDefault="00DC2827" w:rsidP="002627F8">
      <w:r>
        <w:t xml:space="preserve">Now we have the EEIRP requirement it is necessary to introduce the concept of mechanical tilt. It is possible that for different mechanical tilts that different steering ranges are declared. Additional beam identifier may need to be </w:t>
      </w:r>
      <w:r w:rsidR="00C46B86">
        <w:t xml:space="preserve">added to the list for these </w:t>
      </w:r>
      <w:r>
        <w:t>cases. For example:</w:t>
      </w:r>
    </w:p>
    <w:p w14:paraId="3E4B284B" w14:textId="3E58514A" w:rsidR="00DC2827" w:rsidRPr="00DC2827" w:rsidRDefault="00DC2827" w:rsidP="00DC2827">
      <w:pPr>
        <w:ind w:left="852"/>
        <w:rPr>
          <w:color w:val="5B9BD5" w:themeColor="accent1"/>
        </w:rPr>
      </w:pPr>
      <w:r w:rsidRPr="00DC2827">
        <w:rPr>
          <w:color w:val="5B9BD5" w:themeColor="accent1"/>
        </w:rPr>
        <w:t xml:space="preserve">For BS required to meet EEIRP requirements in sub-clause </w:t>
      </w:r>
      <w:proofErr w:type="spellStart"/>
      <w:r w:rsidRPr="00DC2827">
        <w:rPr>
          <w:color w:val="5B9BD5" w:themeColor="accent1"/>
        </w:rPr>
        <w:t>x.x.x</w:t>
      </w:r>
      <w:proofErr w:type="spellEnd"/>
      <w:r w:rsidRPr="00DC2827">
        <w:rPr>
          <w:color w:val="5B9BD5" w:themeColor="accent1"/>
        </w:rPr>
        <w:t>. the following beams must also be declared</w:t>
      </w:r>
    </w:p>
    <w:p w14:paraId="65F60D6F" w14:textId="61714132" w:rsidR="00DC2827" w:rsidRPr="00DC2827" w:rsidRDefault="00DC2827" w:rsidP="00DC2827">
      <w:pPr>
        <w:ind w:left="852"/>
        <w:rPr>
          <w:color w:val="5B9BD5" w:themeColor="accent1"/>
        </w:rPr>
      </w:pPr>
      <w:r w:rsidRPr="00DC2827">
        <w:rPr>
          <w:color w:val="5B9BD5" w:themeColor="accent1"/>
        </w:rPr>
        <w:t>6)</w:t>
      </w:r>
      <w:r w:rsidRPr="00DC2827">
        <w:rPr>
          <w:color w:val="5B9BD5" w:themeColor="accent1"/>
        </w:rPr>
        <w:tab/>
        <w:t xml:space="preserve">A beam which meets the EEIRP requirements </w:t>
      </w:r>
      <w:r w:rsidR="006254B5">
        <w:rPr>
          <w:color w:val="5B9BD5" w:themeColor="accent1"/>
        </w:rPr>
        <w:t xml:space="preserve">with applicable </w:t>
      </w:r>
      <w:r w:rsidRPr="00DC2827">
        <w:rPr>
          <w:color w:val="5B9BD5" w:themeColor="accent1"/>
        </w:rPr>
        <w:t>mechanical tilt</w:t>
      </w:r>
      <w:r w:rsidR="006254B5">
        <w:rPr>
          <w:color w:val="5B9BD5" w:themeColor="accent1"/>
        </w:rPr>
        <w:t>(s)</w:t>
      </w:r>
    </w:p>
    <w:p w14:paraId="14A46810" w14:textId="58FD465F" w:rsidR="00DC2827" w:rsidRDefault="00C46B86" w:rsidP="002627F8">
      <w:r w:rsidRPr="00C46B86">
        <w:rPr>
          <w:b/>
        </w:rPr>
        <w:t>Proposal 2:</w:t>
      </w:r>
      <w:r>
        <w:t xml:space="preserve"> Add additional mandatory beam identified to the declarations list for EEIRP cases. </w:t>
      </w:r>
    </w:p>
    <w:p w14:paraId="5DCE0708" w14:textId="77777777" w:rsidR="00DC2827" w:rsidRDefault="00DC2827" w:rsidP="002627F8"/>
    <w:p w14:paraId="38AC75BB" w14:textId="58D989F5" w:rsidR="009A65B2" w:rsidRPr="00D53C29" w:rsidRDefault="009A65B2" w:rsidP="009A65B2">
      <w:pPr>
        <w:pStyle w:val="10"/>
      </w:pPr>
      <w:r>
        <w:t>3</w:t>
      </w:r>
      <w:r>
        <w:tab/>
      </w:r>
      <w:r w:rsidRPr="00D53C29">
        <w:t>Summary</w:t>
      </w:r>
    </w:p>
    <w:p w14:paraId="6FCE60E2" w14:textId="5944DA64" w:rsidR="004D015C" w:rsidRDefault="006821BA" w:rsidP="004D015C">
      <w:r>
        <w:t>This paper covers the issue of how the regulatory definition of steering range is converted to the language used in the RAN4 specifications the following observations and proposals are made:</w:t>
      </w:r>
    </w:p>
    <w:p w14:paraId="46D89F5A" w14:textId="77777777" w:rsidR="006821BA" w:rsidRDefault="006821BA" w:rsidP="006821BA">
      <w:r w:rsidRPr="00B84112">
        <w:rPr>
          <w:b/>
        </w:rPr>
        <w:lastRenderedPageBreak/>
        <w:t>Observation 1:</w:t>
      </w:r>
      <w:r>
        <w:t xml:space="preserve"> The description in the regulation for the EEIRP requirement clearly states steering directions rather than coverage area so OTA peak directions set better describes the steering range.</w:t>
      </w:r>
    </w:p>
    <w:p w14:paraId="29ADE13E" w14:textId="77777777" w:rsidR="006821BA" w:rsidRDefault="006821BA" w:rsidP="006821BA">
      <w:r w:rsidRPr="00B84112">
        <w:rPr>
          <w:b/>
        </w:rPr>
        <w:t>Observation 2:</w:t>
      </w:r>
      <w:r>
        <w:t xml:space="preserve"> CAR definition as suggested contains potentially ambiguous new terms.</w:t>
      </w:r>
    </w:p>
    <w:p w14:paraId="2E9FD251" w14:textId="77777777" w:rsidR="006821BA" w:rsidRDefault="006821BA" w:rsidP="006821BA">
      <w:r w:rsidRPr="00C46B86">
        <w:rPr>
          <w:b/>
        </w:rPr>
        <w:t>Observation 3:</w:t>
      </w:r>
      <w:r>
        <w:t xml:space="preserve"> The CAR definition is explicit to EEIRP but the OTA peak directions set covers any requirement.</w:t>
      </w:r>
    </w:p>
    <w:p w14:paraId="709DA91B" w14:textId="77777777" w:rsidR="006821BA" w:rsidRDefault="006821BA" w:rsidP="006821BA">
      <w:r w:rsidRPr="00C46B86">
        <w:rPr>
          <w:b/>
        </w:rPr>
        <w:t>Proposal 1:</w:t>
      </w:r>
      <w:r>
        <w:t xml:space="preserve"> Use existing OTA peak directions set to describe the range of steering directions for the EEIRP requirement.</w:t>
      </w:r>
    </w:p>
    <w:p w14:paraId="792E7591" w14:textId="0586FCAC" w:rsidR="006821BA" w:rsidRDefault="006821BA" w:rsidP="006821BA">
      <w:r w:rsidRPr="00C46B86">
        <w:rPr>
          <w:b/>
        </w:rPr>
        <w:t>Proposal 2:</w:t>
      </w:r>
      <w:r>
        <w:t xml:space="preserve"> Add additional mandatory beam identified to the declarations list for EEIRP cases. </w:t>
      </w:r>
    </w:p>
    <w:p w14:paraId="417B1CC6" w14:textId="77777777" w:rsidR="006821BA" w:rsidRDefault="006821BA" w:rsidP="004D015C"/>
    <w:p w14:paraId="1F9F33B5" w14:textId="77777777" w:rsidR="00035E7D" w:rsidRPr="00883F32" w:rsidRDefault="00035E7D" w:rsidP="00035E7D">
      <w:pPr>
        <w:pStyle w:val="10"/>
        <w:ind w:left="0" w:firstLine="0"/>
        <w:rPr>
          <w:rFonts w:eastAsia="Arial" w:cs="Arial"/>
        </w:rPr>
      </w:pPr>
      <w:r w:rsidRPr="00883F32">
        <w:rPr>
          <w:rFonts w:cs="Arial"/>
        </w:rPr>
        <w:t>References</w:t>
      </w:r>
    </w:p>
    <w:p w14:paraId="4BE6EE58" w14:textId="62676DA6" w:rsidR="00C169D6" w:rsidRPr="001D0322" w:rsidRDefault="007B3C01" w:rsidP="005B15EF">
      <w:r w:rsidRPr="00FE0BBB">
        <w:t xml:space="preserve">[1] </w:t>
      </w:r>
      <w:r w:rsidR="00526412" w:rsidRPr="00526412">
        <w:t>R4-2409955</w:t>
      </w:r>
      <w:r w:rsidR="00526412">
        <w:t xml:space="preserve">, </w:t>
      </w:r>
      <w:r w:rsidR="00526412" w:rsidRPr="00526412">
        <w:t xml:space="preserve">Way Forward </w:t>
      </w:r>
      <w:bookmarkStart w:id="4" w:name="_GoBack"/>
      <w:bookmarkEnd w:id="4"/>
      <w:r w:rsidR="00526412" w:rsidRPr="00526412">
        <w:t>for [111][311] NR_BS_RF</w:t>
      </w:r>
      <w:r w:rsidR="00526412">
        <w:t xml:space="preserve">, </w:t>
      </w:r>
      <w:r w:rsidR="00526412" w:rsidRPr="00526412">
        <w:t>ZTE</w:t>
      </w:r>
    </w:p>
    <w:sectPr w:rsidR="00C169D6" w:rsidRPr="001D0322" w:rsidSect="00AD2E43">
      <w:footerReference w:type="default" r:id="rId10"/>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425FE" w16cex:dateUtc="2022-10-14T17:16:00Z"/>
  <w16cex:commentExtensible w16cex:durableId="26F3F99C" w16cex:dateUtc="2022-10-14T13:07:00Z"/>
  <w16cex:commentExtensible w16cex:durableId="26F42641" w16cex:dateUtc="2022-10-14T17: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68772" w14:textId="77777777" w:rsidR="00464FCD" w:rsidRDefault="00464FCD">
      <w:r>
        <w:separator/>
      </w:r>
    </w:p>
  </w:endnote>
  <w:endnote w:type="continuationSeparator" w:id="0">
    <w:p w14:paraId="73F9C509" w14:textId="77777777" w:rsidR="00464FCD" w:rsidRDefault="00464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altName w:val="微软雅黑"/>
    <w:charset w:val="86"/>
    <w:family w:val="modern"/>
    <w:pitch w:val="default"/>
    <w:sig w:usb0="00000000" w:usb1="00000000" w:usb2="00000010" w:usb3="00000000" w:csb0="00040000"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C0B1C" w14:textId="77777777" w:rsidR="00EB14F3" w:rsidRPr="00D12FFA" w:rsidRDefault="00EB14F3">
    <w:pPr>
      <w:pStyle w:val="a7"/>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871572" w14:textId="77777777" w:rsidR="00464FCD" w:rsidRDefault="00464FCD">
      <w:r>
        <w:separator/>
      </w:r>
    </w:p>
  </w:footnote>
  <w:footnote w:type="continuationSeparator" w:id="0">
    <w:p w14:paraId="1C87CDB3" w14:textId="77777777" w:rsidR="00464FCD" w:rsidRDefault="00464F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15004"/>
    <w:multiLevelType w:val="hybridMultilevel"/>
    <w:tmpl w:val="C688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CC3C8A"/>
    <w:multiLevelType w:val="hybridMultilevel"/>
    <w:tmpl w:val="80F24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15ED9"/>
    <w:multiLevelType w:val="hybridMultilevel"/>
    <w:tmpl w:val="0B60A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12"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17"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0"/>
  </w:num>
  <w:num w:numId="3">
    <w:abstractNumId w:val="16"/>
  </w:num>
  <w:num w:numId="4">
    <w:abstractNumId w:val="15"/>
  </w:num>
  <w:num w:numId="5">
    <w:abstractNumId w:val="6"/>
  </w:num>
  <w:num w:numId="6">
    <w:abstractNumId w:val="13"/>
  </w:num>
  <w:num w:numId="7">
    <w:abstractNumId w:val="18"/>
  </w:num>
  <w:num w:numId="8">
    <w:abstractNumId w:val="5"/>
  </w:num>
  <w:num w:numId="9">
    <w:abstractNumId w:val="4"/>
  </w:num>
  <w:num w:numId="10">
    <w:abstractNumId w:val="14"/>
  </w:num>
  <w:num w:numId="11">
    <w:abstractNumId w:val="8"/>
  </w:num>
  <w:num w:numId="12">
    <w:abstractNumId w:val="3"/>
  </w:num>
  <w:num w:numId="13">
    <w:abstractNumId w:val="17"/>
  </w:num>
  <w:num w:numId="14">
    <w:abstractNumId w:val="2"/>
  </w:num>
  <w:num w:numId="15">
    <w:abstractNumId w:val="12"/>
  </w:num>
  <w:num w:numId="16">
    <w:abstractNumId w:val="11"/>
  </w:num>
  <w:num w:numId="17">
    <w:abstractNumId w:val="7"/>
  </w:num>
  <w:num w:numId="18">
    <w:abstractNumId w:val="0"/>
  </w:num>
  <w:num w:numId="1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3C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018"/>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0FA2"/>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D1E"/>
    <w:rsid w:val="001C1240"/>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4E2"/>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20C"/>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2A8B"/>
    <w:rsid w:val="0024334C"/>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7F8"/>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144"/>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DB3"/>
    <w:rsid w:val="002E7FAD"/>
    <w:rsid w:val="002F01DA"/>
    <w:rsid w:val="002F083B"/>
    <w:rsid w:val="002F0DA9"/>
    <w:rsid w:val="002F11FE"/>
    <w:rsid w:val="002F1220"/>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44B"/>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67DD"/>
    <w:rsid w:val="003D71CE"/>
    <w:rsid w:val="003D749C"/>
    <w:rsid w:val="003E01AA"/>
    <w:rsid w:val="003E1296"/>
    <w:rsid w:val="003E143D"/>
    <w:rsid w:val="003E162A"/>
    <w:rsid w:val="003E16B3"/>
    <w:rsid w:val="003E203F"/>
    <w:rsid w:val="003E3882"/>
    <w:rsid w:val="003E3E53"/>
    <w:rsid w:val="003E4559"/>
    <w:rsid w:val="003E4724"/>
    <w:rsid w:val="003E4F3D"/>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ABA"/>
    <w:rsid w:val="00410ABC"/>
    <w:rsid w:val="00410B0A"/>
    <w:rsid w:val="00411635"/>
    <w:rsid w:val="00412A80"/>
    <w:rsid w:val="00412C67"/>
    <w:rsid w:val="00412DC8"/>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860"/>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4FCD"/>
    <w:rsid w:val="0046566A"/>
    <w:rsid w:val="00465AE3"/>
    <w:rsid w:val="0046639A"/>
    <w:rsid w:val="004673D0"/>
    <w:rsid w:val="00471190"/>
    <w:rsid w:val="004711EF"/>
    <w:rsid w:val="004726E5"/>
    <w:rsid w:val="00472760"/>
    <w:rsid w:val="00472B07"/>
    <w:rsid w:val="00473001"/>
    <w:rsid w:val="004743B9"/>
    <w:rsid w:val="00474557"/>
    <w:rsid w:val="0047518D"/>
    <w:rsid w:val="004759A8"/>
    <w:rsid w:val="00475C5A"/>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B1A"/>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7B9"/>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0B"/>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412"/>
    <w:rsid w:val="00526671"/>
    <w:rsid w:val="00526760"/>
    <w:rsid w:val="00526855"/>
    <w:rsid w:val="00530694"/>
    <w:rsid w:val="00530791"/>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B5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AD2"/>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4DE6"/>
    <w:rsid w:val="00595F91"/>
    <w:rsid w:val="00597401"/>
    <w:rsid w:val="005A09B5"/>
    <w:rsid w:val="005A0EB5"/>
    <w:rsid w:val="005A13C6"/>
    <w:rsid w:val="005A1962"/>
    <w:rsid w:val="005A1B4F"/>
    <w:rsid w:val="005A1D4F"/>
    <w:rsid w:val="005A1DEF"/>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5EF"/>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4B5"/>
    <w:rsid w:val="00625A07"/>
    <w:rsid w:val="00625F3F"/>
    <w:rsid w:val="006269DE"/>
    <w:rsid w:val="00626C0D"/>
    <w:rsid w:val="00627034"/>
    <w:rsid w:val="00627285"/>
    <w:rsid w:val="00627325"/>
    <w:rsid w:val="006274B4"/>
    <w:rsid w:val="0062751C"/>
    <w:rsid w:val="006276A9"/>
    <w:rsid w:val="006277C8"/>
    <w:rsid w:val="0063027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1C42"/>
    <w:rsid w:val="00672438"/>
    <w:rsid w:val="0067271D"/>
    <w:rsid w:val="00672918"/>
    <w:rsid w:val="00673291"/>
    <w:rsid w:val="006738DC"/>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1BA"/>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D83"/>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B22"/>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1E"/>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1F5"/>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4A2A"/>
    <w:rsid w:val="00775C1B"/>
    <w:rsid w:val="0077600D"/>
    <w:rsid w:val="00776809"/>
    <w:rsid w:val="007773C4"/>
    <w:rsid w:val="00780611"/>
    <w:rsid w:val="007806F0"/>
    <w:rsid w:val="007810AF"/>
    <w:rsid w:val="007818B4"/>
    <w:rsid w:val="007832CA"/>
    <w:rsid w:val="007832EA"/>
    <w:rsid w:val="0078363D"/>
    <w:rsid w:val="007848B7"/>
    <w:rsid w:val="007848D7"/>
    <w:rsid w:val="007857D8"/>
    <w:rsid w:val="00786000"/>
    <w:rsid w:val="00786007"/>
    <w:rsid w:val="0078603F"/>
    <w:rsid w:val="007860C0"/>
    <w:rsid w:val="00786356"/>
    <w:rsid w:val="007864C8"/>
    <w:rsid w:val="007866CA"/>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19A5"/>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644"/>
    <w:rsid w:val="00872029"/>
    <w:rsid w:val="008721CE"/>
    <w:rsid w:val="0087220C"/>
    <w:rsid w:val="0087240C"/>
    <w:rsid w:val="00872EA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65EC"/>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90E"/>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5DF9"/>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32C6"/>
    <w:rsid w:val="009E32D9"/>
    <w:rsid w:val="009E3904"/>
    <w:rsid w:val="009E3C96"/>
    <w:rsid w:val="009E4618"/>
    <w:rsid w:val="009E4F63"/>
    <w:rsid w:val="009E5461"/>
    <w:rsid w:val="009E56F8"/>
    <w:rsid w:val="009E6373"/>
    <w:rsid w:val="009E7474"/>
    <w:rsid w:val="009E747F"/>
    <w:rsid w:val="009E75A9"/>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77D"/>
    <w:rsid w:val="00A128B8"/>
    <w:rsid w:val="00A12B48"/>
    <w:rsid w:val="00A132D9"/>
    <w:rsid w:val="00A13434"/>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26FE"/>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4CC5"/>
    <w:rsid w:val="00AA604D"/>
    <w:rsid w:val="00AA62E6"/>
    <w:rsid w:val="00AA674B"/>
    <w:rsid w:val="00AA6783"/>
    <w:rsid w:val="00AA6A8B"/>
    <w:rsid w:val="00AA6D97"/>
    <w:rsid w:val="00AA76FD"/>
    <w:rsid w:val="00AA7CCE"/>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698"/>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17F0"/>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4A4E"/>
    <w:rsid w:val="00B351BF"/>
    <w:rsid w:val="00B36ABA"/>
    <w:rsid w:val="00B36D3A"/>
    <w:rsid w:val="00B37330"/>
    <w:rsid w:val="00B37649"/>
    <w:rsid w:val="00B37662"/>
    <w:rsid w:val="00B377DD"/>
    <w:rsid w:val="00B37889"/>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0A1"/>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12"/>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5048"/>
    <w:rsid w:val="00BA5237"/>
    <w:rsid w:val="00BA55DD"/>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602"/>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CD5"/>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640"/>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5F43"/>
    <w:rsid w:val="00C46504"/>
    <w:rsid w:val="00C46B86"/>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4BD"/>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267"/>
    <w:rsid w:val="00CC0659"/>
    <w:rsid w:val="00CC1030"/>
    <w:rsid w:val="00CC1B2D"/>
    <w:rsid w:val="00CC1F35"/>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76E9"/>
    <w:rsid w:val="00D17D95"/>
    <w:rsid w:val="00D20809"/>
    <w:rsid w:val="00D20A7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039"/>
    <w:rsid w:val="00D421EA"/>
    <w:rsid w:val="00D43146"/>
    <w:rsid w:val="00D44576"/>
    <w:rsid w:val="00D44FCE"/>
    <w:rsid w:val="00D45ACC"/>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D79"/>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418"/>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827"/>
    <w:rsid w:val="00DC2A73"/>
    <w:rsid w:val="00DC2A8D"/>
    <w:rsid w:val="00DC3A59"/>
    <w:rsid w:val="00DC3B67"/>
    <w:rsid w:val="00DC3BFF"/>
    <w:rsid w:val="00DC3C9F"/>
    <w:rsid w:val="00DC3E10"/>
    <w:rsid w:val="00DC4256"/>
    <w:rsid w:val="00DC580F"/>
    <w:rsid w:val="00DC5C17"/>
    <w:rsid w:val="00DC6415"/>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6B08"/>
    <w:rsid w:val="00E07C0A"/>
    <w:rsid w:val="00E07F41"/>
    <w:rsid w:val="00E11A21"/>
    <w:rsid w:val="00E12243"/>
    <w:rsid w:val="00E1246D"/>
    <w:rsid w:val="00E128A8"/>
    <w:rsid w:val="00E13657"/>
    <w:rsid w:val="00E13D43"/>
    <w:rsid w:val="00E147B3"/>
    <w:rsid w:val="00E1484C"/>
    <w:rsid w:val="00E14ABB"/>
    <w:rsid w:val="00E14BE8"/>
    <w:rsid w:val="00E14D79"/>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BC5"/>
    <w:rsid w:val="00E60278"/>
    <w:rsid w:val="00E607AB"/>
    <w:rsid w:val="00E608C2"/>
    <w:rsid w:val="00E616BF"/>
    <w:rsid w:val="00E61D4C"/>
    <w:rsid w:val="00E61EDA"/>
    <w:rsid w:val="00E62210"/>
    <w:rsid w:val="00E624DD"/>
    <w:rsid w:val="00E62758"/>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4F3"/>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C66"/>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6953"/>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82F"/>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E9F0E1C2-04DB-40D0-9FC8-EB95F83E1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uiPriority="10" w:qFormat="1"/>
    <w:lsdException w:name="Subtitle" w:uiPriority="11"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43146"/>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D43146"/>
    <w:pPr>
      <w:ind w:left="1701" w:hanging="1701"/>
      <w:outlineLvl w:val="4"/>
    </w:pPr>
    <w:rPr>
      <w:sz w:val="22"/>
    </w:rPr>
  </w:style>
  <w:style w:type="paragraph" w:styleId="6">
    <w:name w:val="heading 6"/>
    <w:aliases w:val="T1,Header 6"/>
    <w:basedOn w:val="H6"/>
    <w:next w:val="a1"/>
    <w:link w:val="60"/>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Yu Mincho" w:hAnsi="Yu Mincho"/>
      <w:sz w:val="18"/>
    </w:rPr>
  </w:style>
  <w:style w:type="character" w:customStyle="1" w:styleId="TALChar">
    <w:name w:val="TAL Char"/>
    <w:link w:val="TAL"/>
    <w:qFormat/>
    <w:rsid w:val="00326780"/>
    <w:rPr>
      <w:rFonts w:ascii="Yu Mincho" w:hAnsi="Yu Mincho"/>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
    <w:basedOn w:val="a1"/>
    <w:next w:val="a1"/>
    <w:link w:val="af"/>
    <w:uiPriority w:val="35"/>
    <w:semiHidden/>
    <w:unhideWhenUsed/>
    <w:qFormat/>
    <w:rPr>
      <w:rFonts w:asciiTheme="majorHAnsi" w:eastAsia="黑体" w:hAnsiTheme="majorHAnsi" w:cstheme="majorBidi"/>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Symbol" w:hAnsi="Symbol"/>
    </w:rPr>
  </w:style>
  <w:style w:type="paragraph" w:styleId="af4">
    <w:name w:val="Plain Text"/>
    <w:basedOn w:val="a1"/>
    <w:link w:val="af5"/>
    <w:rPr>
      <w:rFonts w:ascii="Yu Mincho" w:hAnsi="Yu Mincho"/>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Calibri Light" w:eastAsia="Calibri Light"/>
      <w:sz w:val="24"/>
      <w:lang w:eastAsia="en-US"/>
    </w:rPr>
  </w:style>
  <w:style w:type="character" w:styleId="afc">
    <w:name w:val="page number"/>
    <w:basedOn w:val="a2"/>
  </w:style>
  <w:style w:type="paragraph" w:styleId="34">
    <w:name w:val="Body Text 3"/>
    <w:basedOn w:val="a1"/>
    <w:pPr>
      <w:keepNext/>
      <w:keepLines/>
    </w:pPr>
    <w:rPr>
      <w:rFonts w:eastAsia="仿宋_GB2312"/>
      <w:color w:val="000000"/>
    </w:rPr>
  </w:style>
  <w:style w:type="paragraph" w:styleId="afd">
    <w:name w:val="Balloon Text"/>
    <w:basedOn w:val="a1"/>
    <w:link w:val="afe"/>
    <w:semiHidden/>
    <w:rPr>
      <w:rFonts w:ascii="Symbol" w:hAnsi="Symbol" w:cs="Symbol"/>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f2">
    <w:name w:val="样式 页眉"/>
    <w:basedOn w:val="a5"/>
    <w:link w:val="Char0"/>
    <w:rsid w:val="00572A4C"/>
    <w:rPr>
      <w:rFonts w:eastAsia="Yu Mincho"/>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Yu Mincho" w:eastAsia="MS Mincho" w:hAnsi="Yu Mincho"/>
      <w:b/>
      <w:noProof/>
      <w:sz w:val="18"/>
      <w:lang w:val="en-GB" w:eastAsia="en-US" w:bidi="ar-SA"/>
    </w:rPr>
  </w:style>
  <w:style w:type="character" w:customStyle="1" w:styleId="Char0">
    <w:name w:val="样式 页眉 Char"/>
    <w:link w:val="aff2"/>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b"/>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rsid w:val="00716B79"/>
    <w:pPr>
      <w:overflowPunct/>
      <w:autoSpaceDE/>
      <w:autoSpaceDN/>
      <w:adjustRightInd/>
      <w:textAlignment w:val="auto"/>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MS Mincho"/>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qFormat/>
    <w:rsid w:val="00755136"/>
    <w:pPr>
      <w:spacing w:after="0"/>
    </w:pPr>
  </w:style>
  <w:style w:type="character" w:customStyle="1" w:styleId="TFChar">
    <w:name w:val="TF Char"/>
    <w:link w:val="TF"/>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
    <w:link w:val="ae"/>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af5">
    <w:name w:val="纯文本 字符"/>
    <w:link w:val="af4"/>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0">
    <w:name w:val="标题 6 字符"/>
    <w:aliases w:val="T1 字符,Header 6 字符"/>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af3">
    <w:name w:val="文档结构图 字符"/>
    <w:link w:val="af2"/>
    <w:semiHidden/>
    <w:rsid w:val="00755136"/>
    <w:rPr>
      <w:rFonts w:ascii="Symbol" w:eastAsia="MS Mincho" w:hAnsi="Symbol"/>
      <w:shd w:val="clear" w:color="auto" w:fill="000080"/>
      <w:lang w:val="en-GB" w:eastAsia="en-US"/>
    </w:rPr>
  </w:style>
  <w:style w:type="character" w:customStyle="1" w:styleId="afb">
    <w:name w:val="批注文字 字符"/>
    <w:link w:val="afa"/>
    <w:semiHidden/>
    <w:rsid w:val="00755136"/>
    <w:rPr>
      <w:rFonts w:ascii="Calibri Light" w:eastAsia="Calibri Light"/>
      <w:sz w:val="24"/>
      <w:lang w:val="en-GB" w:eastAsia="en-US"/>
    </w:rPr>
  </w:style>
  <w:style w:type="character" w:customStyle="1" w:styleId="afe">
    <w:name w:val="批注框文本 字符"/>
    <w:link w:val="afd"/>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6"/>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9"/>
    <w:rsid w:val="00755136"/>
    <w:pPr>
      <w:ind w:leftChars="100" w:left="400" w:hangingChars="100" w:hanging="200"/>
    </w:pPr>
    <w:rPr>
      <w:rFonts w:eastAsia="Symbol"/>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6"/>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a">
    <w:name w:val="Revision"/>
    <w:hidden/>
    <w:semiHidden/>
    <w:rsid w:val="00755136"/>
    <w:rPr>
      <w:rFonts w:eastAsia="MS Mincho"/>
      <w:lang w:val="en-GB" w:eastAsia="en-US"/>
    </w:rPr>
  </w:style>
  <w:style w:type="paragraph" w:styleId="affb">
    <w:name w:val="endnote text"/>
    <w:basedOn w:val="a1"/>
    <w:link w:val="affc"/>
    <w:rsid w:val="00755136"/>
    <w:pPr>
      <w:overflowPunct/>
      <w:autoSpaceDE/>
      <w:autoSpaceDN/>
      <w:adjustRightInd/>
      <w:snapToGrid w:val="0"/>
      <w:textAlignment w:val="auto"/>
    </w:pPr>
    <w:rPr>
      <w:rFonts w:eastAsia="Arial"/>
    </w:rPr>
  </w:style>
  <w:style w:type="character" w:customStyle="1" w:styleId="affc">
    <w:name w:val="尾注文本 字符"/>
    <w:link w:val="affb"/>
    <w:rsid w:val="00755136"/>
    <w:rPr>
      <w:rFonts w:eastAsia="Arial"/>
      <w:lang w:val="en-GB" w:eastAsia="en-US"/>
    </w:rPr>
  </w:style>
  <w:style w:type="character" w:styleId="affd">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e">
    <w:name w:val="Title"/>
    <w:basedOn w:val="a1"/>
    <w:next w:val="a1"/>
    <w:link w:val="afff"/>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afff">
    <w:name w:val="标题 字符"/>
    <w:link w:val="affe"/>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f0">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1"/>
    <w:link w:val="afff1"/>
    <w:uiPriority w:val="34"/>
    <w:qFormat/>
    <w:rsid w:val="00D43146"/>
    <w:pPr>
      <w:ind w:firstLineChars="200" w:firstLine="420"/>
    </w:pPr>
  </w:style>
  <w:style w:type="character" w:customStyle="1" w:styleId="afff1">
    <w:name w:val="列表段落 字符"/>
    <w:aliases w:val="List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rsid w:val="006535FE"/>
    <w:rPr>
      <w:rFonts w:ascii="Times New Roman" w:eastAsia="宋体" w:hAnsi="Times New Roman"/>
      <w:lang w:val="en-GB"/>
    </w:rPr>
  </w:style>
  <w:style w:type="character" w:styleId="afff2">
    <w:name w:val="Placeholder Text"/>
    <w:basedOn w:val="a2"/>
    <w:uiPriority w:val="99"/>
    <w:semiHidden/>
    <w:rsid w:val="00A1277D"/>
    <w:rPr>
      <w:color w:val="808080"/>
    </w:rPr>
  </w:style>
  <w:style w:type="character" w:customStyle="1" w:styleId="EQChar">
    <w:name w:val="EQ Char"/>
    <w:link w:val="EQ"/>
    <w:qFormat/>
    <w:rsid w:val="00BB5602"/>
    <w:rPr>
      <w:rFonts w:ascii="Times New Roman" w:eastAsia="宋体" w:hAnsi="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26439224">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21222833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4240A1-6867-499A-999A-82D89BD91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60</TotalTime>
  <Pages>4</Pages>
  <Words>1222</Words>
  <Characters>6966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8172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Liehai</cp:lastModifiedBy>
  <cp:revision>4</cp:revision>
  <cp:lastPrinted>2010-01-07T02:23:00Z</cp:lastPrinted>
  <dcterms:created xsi:type="dcterms:W3CDTF">2024-08-09T08:52:00Z</dcterms:created>
  <dcterms:modified xsi:type="dcterms:W3CDTF">2024-08-09T18:19:00Z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(3)QJ8plNB23mekOYj+4RY9Yqkr3ca6qmkiGAI46qbr1Niaecb+uQ+5KuxzbL8H1xhvOk2oLAKN
mva5YXVfHcjgqNv+/8egIjAAPGpQLjsg9XD8+yOODLVNP+tFlaVIZYCiVV4+nI++FP9TuYvP
dKEoAk9s76KgV2Ni3VSI3ourbYXbF2f20PC3qSzA4R5XXgODuZNsodzYicTSYq310QK3iTio
7TbVXedV9OlHHtayqE</vt:lpwstr>
  </property>
  <property fmtid="{D5CDD505-2E9C-101B-9397-08002B2CF9AE}" pid="15" name="_2015_ms_pID_725343_00">
    <vt:lpwstr>_2015_ms_pID_725343</vt:lpwstr>
  </property>
  <property fmtid="{D5CDD505-2E9C-101B-9397-08002B2CF9AE}" pid="16" name="_2015_ms_pID_7253431">
    <vt:lpwstr>pB3oe0dItj4ak217zVd1sYvjYiWsSUVXyVSe0lwgmsdVYtlzWMOw3W
axJ+dme0cRvT6WXIO/NbSzhicpEkUx9oSdo097qzjvPZAredR1EOGqDS47Q3jQzTjwLIuZ01
2xhCtl/xZqOer5rQ1Cz0lUI3BxOTwidxPDzx2ZoXr6fdP0yp87UN9kDsKWk8833+T8xXGIQ/
Om+zfzQarGDPej/PGI1JICp52aU3hfVN5aNQ</vt:lpwstr>
  </property>
  <property fmtid="{D5CDD505-2E9C-101B-9397-08002B2CF9AE}" pid="17" name="_2015_ms_pID_7253431_00">
    <vt:lpwstr>_2015_ms_pID_7253431</vt:lpwstr>
  </property>
  <property fmtid="{D5CDD505-2E9C-101B-9397-08002B2CF9AE}" pid="18" name="_2015_ms_pID_7253432">
    <vt:lpwstr>5yAHxIIgV+How+nEhlqijoA=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1722256044</vt:lpwstr>
  </property>
</Properties>
</file>